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thinThickLargeGap" w:sz="24" w:space="0" w:color="4F81BD" w:themeColor="accent1"/>
          <w:left w:val="thinThickLargeGap" w:sz="24" w:space="0" w:color="4F81BD" w:themeColor="accent1"/>
          <w:bottom w:val="thickThinLargeGap" w:sz="24" w:space="0" w:color="4F81BD" w:themeColor="accent1"/>
          <w:right w:val="thickThinLargeGap" w:sz="24" w:space="0" w:color="4F81BD" w:themeColor="accent1"/>
          <w:insideH w:val="none" w:sz="0" w:space="0" w:color="auto"/>
          <w:insideV w:val="none" w:sz="0" w:space="0" w:color="auto"/>
        </w:tblBorders>
        <w:tblLook w:val="04A0" w:firstRow="1" w:lastRow="0" w:firstColumn="1" w:lastColumn="0" w:noHBand="0" w:noVBand="1"/>
      </w:tblPr>
      <w:tblGrid>
        <w:gridCol w:w="222"/>
        <w:gridCol w:w="8523"/>
        <w:gridCol w:w="221"/>
      </w:tblGrid>
      <w:tr w:rsidR="00EB6FCB" w:rsidTr="00561A1C">
        <w:tc>
          <w:tcPr>
            <w:tcW w:w="250" w:type="dxa"/>
          </w:tcPr>
          <w:p w:rsidR="00EB6FCB" w:rsidRDefault="00EB6FCB"/>
        </w:tc>
        <w:tc>
          <w:tcPr>
            <w:tcW w:w="8789" w:type="dxa"/>
          </w:tcPr>
          <w:p w:rsidR="00EB6FCB" w:rsidRDefault="00EB6FCB"/>
        </w:tc>
        <w:tc>
          <w:tcPr>
            <w:tcW w:w="236" w:type="dxa"/>
          </w:tcPr>
          <w:p w:rsidR="00EB6FCB" w:rsidRDefault="00EB6FCB"/>
        </w:tc>
      </w:tr>
      <w:tr w:rsidR="00EB6FCB" w:rsidTr="00561A1C">
        <w:tc>
          <w:tcPr>
            <w:tcW w:w="250" w:type="dxa"/>
          </w:tcPr>
          <w:p w:rsidR="00EB6FCB" w:rsidRDefault="00EB6FCB"/>
        </w:tc>
        <w:tc>
          <w:tcPr>
            <w:tcW w:w="8789" w:type="dxa"/>
          </w:tcPr>
          <w:p w:rsidR="00EB6FCB" w:rsidRDefault="00EB6FCB">
            <w:r>
              <w:rPr>
                <w:noProof/>
              </w:rPr>
              <w:drawing>
                <wp:inline distT="0" distB="0" distL="0" distR="0">
                  <wp:extent cx="5757545" cy="1409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7545" cy="1409700"/>
                          </a:xfrm>
                          <a:prstGeom prst="rect">
                            <a:avLst/>
                          </a:prstGeom>
                          <a:noFill/>
                          <a:ln>
                            <a:noFill/>
                          </a:ln>
                        </pic:spPr>
                      </pic:pic>
                    </a:graphicData>
                  </a:graphic>
                </wp:inline>
              </w:drawing>
            </w:r>
          </w:p>
          <w:p w:rsidR="00EB6FCB" w:rsidRDefault="00EB6FCB"/>
          <w:p w:rsidR="00EB6FCB" w:rsidRPr="00561A1C" w:rsidRDefault="00EB6FCB" w:rsidP="00502954">
            <w:pPr>
              <w:jc w:val="both"/>
              <w:rPr>
                <w:b/>
              </w:rPr>
            </w:pPr>
            <w:r w:rsidRPr="00561A1C">
              <w:rPr>
                <w:b/>
              </w:rPr>
              <w:t xml:space="preserve">Voici 3 questions qui te permettront de savoir si tu as bien écouté l’histoire </w:t>
            </w:r>
            <w:r w:rsidR="00CA70B8">
              <w:rPr>
                <w:b/>
              </w:rPr>
              <w:t xml:space="preserve">de </w:t>
            </w:r>
            <w:r w:rsidR="00104F52">
              <w:rPr>
                <w:b/>
              </w:rPr>
              <w:t xml:space="preserve">la </w:t>
            </w:r>
            <w:r w:rsidR="000701E8">
              <w:rPr>
                <w:b/>
              </w:rPr>
              <w:t>constellation de la Chevelure de Bérénice</w:t>
            </w:r>
            <w:r w:rsidR="003A7E9C">
              <w:rPr>
                <w:b/>
              </w:rPr>
              <w:t>.</w:t>
            </w:r>
            <w:r w:rsidR="00CA70B8">
              <w:rPr>
                <w:b/>
              </w:rPr>
              <w:t xml:space="preserve"> Si tu n’as pas la réponse, tu peux bien sûr réécouter l’histoire !</w:t>
            </w:r>
          </w:p>
          <w:p w:rsidR="00EB6FCB" w:rsidRDefault="00EB6FCB"/>
          <w:p w:rsidR="001A5046" w:rsidRDefault="00561A1C" w:rsidP="00561A1C">
            <w:r>
              <w:t xml:space="preserve">1 </w:t>
            </w:r>
            <w:proofErr w:type="gramStart"/>
            <w:r w:rsidR="00433B3A">
              <w:t>–</w:t>
            </w:r>
            <w:r w:rsidR="00872548">
              <w:t xml:space="preserve"> </w:t>
            </w:r>
            <w:r w:rsidR="000D5744">
              <w:t xml:space="preserve"> </w:t>
            </w:r>
            <w:r w:rsidR="000B54E4" w:rsidRPr="000B54E4">
              <w:t>A</w:t>
            </w:r>
            <w:proofErr w:type="gramEnd"/>
            <w:r w:rsidR="000B54E4" w:rsidRPr="000B54E4">
              <w:t xml:space="preserve"> qui Bérénice offre-t-elle ses cheveux et pourquoi ?</w:t>
            </w:r>
          </w:p>
          <w:p w:rsidR="000D5744" w:rsidRDefault="000D5744" w:rsidP="00561A1C"/>
          <w:p w:rsidR="002A27FD" w:rsidRDefault="002A27FD" w:rsidP="00561A1C"/>
          <w:p w:rsidR="003F2569" w:rsidRDefault="003F2569" w:rsidP="00561A1C"/>
          <w:p w:rsidR="002A27FD" w:rsidRDefault="002A27FD" w:rsidP="00561A1C"/>
          <w:p w:rsidR="00561A1C" w:rsidRDefault="00EE4352" w:rsidP="00561A1C">
            <w:r>
              <w:t>2</w:t>
            </w:r>
            <w:r w:rsidR="00561A1C">
              <w:t xml:space="preserve"> </w:t>
            </w:r>
            <w:r w:rsidR="00433B3A">
              <w:t>–</w:t>
            </w:r>
            <w:r w:rsidR="005A738C">
              <w:t xml:space="preserve"> </w:t>
            </w:r>
            <w:r w:rsidR="000B54E4" w:rsidRPr="000B54E4">
              <w:t>Quel astronome grec a mis la Chevelure de Bérénice dans son catalogue ?</w:t>
            </w:r>
          </w:p>
          <w:p w:rsidR="00CE13E7" w:rsidRDefault="00CE13E7" w:rsidP="00561A1C"/>
          <w:p w:rsidR="002A27FD" w:rsidRDefault="002A27FD" w:rsidP="00561A1C"/>
          <w:p w:rsidR="00561A1C" w:rsidRDefault="00561A1C" w:rsidP="00561A1C"/>
          <w:p w:rsidR="003A7E9C" w:rsidRDefault="00561A1C" w:rsidP="00561A1C">
            <w:r>
              <w:t xml:space="preserve">3 </w:t>
            </w:r>
            <w:r w:rsidR="00433B3A">
              <w:t>–</w:t>
            </w:r>
            <w:r w:rsidR="003F2569">
              <w:t xml:space="preserve"> </w:t>
            </w:r>
            <w:r w:rsidR="003F2569" w:rsidRPr="003F2569">
              <w:t>Que peut-on voir avec un télescope en regardant par-delà les régions peu denses en étoiles du ciel ?</w:t>
            </w:r>
          </w:p>
          <w:p w:rsidR="000D5744" w:rsidRDefault="000D5744" w:rsidP="00561A1C"/>
          <w:p w:rsidR="00FE789C" w:rsidRDefault="00FE789C" w:rsidP="00561A1C"/>
          <w:p w:rsidR="00EB6FCB" w:rsidRDefault="00EB6FCB"/>
          <w:p w:rsidR="00EB6FCB" w:rsidRDefault="00561A1C">
            <w:r>
              <w:t>A bientôt pour une nouvelle</w:t>
            </w:r>
            <w:r w:rsidR="00104F52">
              <w:t xml:space="preserve"> planète, étoile ou</w:t>
            </w:r>
            <w:r>
              <w:t xml:space="preserve"> constellation !</w:t>
            </w:r>
          </w:p>
        </w:tc>
        <w:tc>
          <w:tcPr>
            <w:tcW w:w="236" w:type="dxa"/>
          </w:tcPr>
          <w:p w:rsidR="00EB6FCB" w:rsidRDefault="00EB6FCB"/>
        </w:tc>
      </w:tr>
      <w:tr w:rsidR="00EB6FCB" w:rsidTr="00561A1C">
        <w:tc>
          <w:tcPr>
            <w:tcW w:w="250" w:type="dxa"/>
          </w:tcPr>
          <w:p w:rsidR="00EB6FCB" w:rsidRDefault="00EB6FCB"/>
        </w:tc>
        <w:tc>
          <w:tcPr>
            <w:tcW w:w="8789" w:type="dxa"/>
          </w:tcPr>
          <w:p w:rsidR="00EB6FCB" w:rsidRDefault="00EB6FCB"/>
        </w:tc>
        <w:tc>
          <w:tcPr>
            <w:tcW w:w="236" w:type="dxa"/>
          </w:tcPr>
          <w:p w:rsidR="00EB6FCB" w:rsidRDefault="00EB6FCB"/>
        </w:tc>
      </w:tr>
    </w:tbl>
    <w:p w:rsidR="00CE13E7" w:rsidRDefault="00561A1C" w:rsidP="000701E8">
      <w:pPr>
        <w:jc w:val="center"/>
      </w:pPr>
      <w:r>
        <w:t xml:space="preserve">    </w:t>
      </w:r>
    </w:p>
    <w:p w:rsidR="000701E8" w:rsidRDefault="000701E8" w:rsidP="000701E8">
      <w:pPr>
        <w:jc w:val="center"/>
        <w:rPr>
          <w:noProof/>
        </w:rPr>
      </w:pPr>
      <w:r>
        <w:rPr>
          <w:noProof/>
        </w:rPr>
        <w:drawing>
          <wp:inline distT="0" distB="0" distL="0" distR="0">
            <wp:extent cx="2774430" cy="2408766"/>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8824" cy="2438627"/>
                    </a:xfrm>
                    <a:prstGeom prst="rect">
                      <a:avLst/>
                    </a:prstGeom>
                    <a:noFill/>
                    <a:ln>
                      <a:noFill/>
                    </a:ln>
                  </pic:spPr>
                </pic:pic>
              </a:graphicData>
            </a:graphic>
          </wp:inline>
        </w:drawing>
      </w:r>
      <w:r>
        <w:rPr>
          <w:noProof/>
        </w:rPr>
        <w:t xml:space="preserve">  </w:t>
      </w:r>
      <w:r>
        <w:rPr>
          <w:noProof/>
        </w:rPr>
        <w:drawing>
          <wp:inline distT="0" distB="0" distL="0" distR="0">
            <wp:extent cx="2870276" cy="2408400"/>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0276" cy="2408400"/>
                    </a:xfrm>
                    <a:prstGeom prst="rect">
                      <a:avLst/>
                    </a:prstGeom>
                    <a:noFill/>
                    <a:ln>
                      <a:noFill/>
                    </a:ln>
                  </pic:spPr>
                </pic:pic>
              </a:graphicData>
            </a:graphic>
          </wp:inline>
        </w:drawing>
      </w:r>
    </w:p>
    <w:p w:rsidR="000701E8" w:rsidRPr="00B60E87" w:rsidRDefault="00364596" w:rsidP="000701E8">
      <w:pPr>
        <w:jc w:val="both"/>
        <w:rPr>
          <w:sz w:val="19"/>
          <w:szCs w:val="19"/>
        </w:rPr>
      </w:pPr>
      <w:r w:rsidRPr="00B60E87">
        <w:rPr>
          <w:sz w:val="19"/>
          <w:szCs w:val="19"/>
        </w:rPr>
        <w:t xml:space="preserve">A gauche : </w:t>
      </w:r>
      <w:r w:rsidR="000701E8">
        <w:rPr>
          <w:sz w:val="19"/>
          <w:szCs w:val="19"/>
        </w:rPr>
        <w:t>v</w:t>
      </w:r>
      <w:r w:rsidR="000701E8" w:rsidRPr="000701E8">
        <w:rPr>
          <w:sz w:val="19"/>
          <w:szCs w:val="19"/>
        </w:rPr>
        <w:t xml:space="preserve">isant vers la Chevelure de Bérénice par une échappée entre les rares étoiles (de couleur bleue) de notre </w:t>
      </w:r>
      <w:r w:rsidR="000701E8">
        <w:rPr>
          <w:sz w:val="19"/>
          <w:szCs w:val="19"/>
        </w:rPr>
        <w:t>« </w:t>
      </w:r>
      <w:r w:rsidR="000701E8" w:rsidRPr="000701E8">
        <w:rPr>
          <w:sz w:val="19"/>
          <w:szCs w:val="19"/>
        </w:rPr>
        <w:t>galette</w:t>
      </w:r>
      <w:r w:rsidR="000701E8">
        <w:rPr>
          <w:sz w:val="19"/>
          <w:szCs w:val="19"/>
        </w:rPr>
        <w:t> »</w:t>
      </w:r>
      <w:r w:rsidR="000701E8" w:rsidRPr="000701E8">
        <w:rPr>
          <w:sz w:val="19"/>
          <w:szCs w:val="19"/>
        </w:rPr>
        <w:t>, nous voyons, avec un bon télescope, le ciel profond. Il contient deux brillantes galaxies (vert pâle), et une quantité de galaxies naines (de couleur vert pâle) de formes diverses, autres galettes lointaines faites de millions d’étoiles.</w:t>
      </w:r>
      <w:r w:rsidR="00CC19FD">
        <w:rPr>
          <w:sz w:val="19"/>
          <w:szCs w:val="19"/>
        </w:rPr>
        <w:t xml:space="preserve"> </w:t>
      </w:r>
      <w:r w:rsidR="00CC19FD" w:rsidRPr="00CC19FD">
        <w:rPr>
          <w:sz w:val="19"/>
          <w:szCs w:val="19"/>
        </w:rPr>
        <w:t>Elles forment un amas de galaxies, appelé </w:t>
      </w:r>
      <w:bookmarkStart w:id="0" w:name="_GoBack"/>
      <w:r w:rsidR="00CC19FD" w:rsidRPr="00CC19FD">
        <w:rPr>
          <w:i/>
          <w:sz w:val="19"/>
          <w:szCs w:val="19"/>
        </w:rPr>
        <w:t>Coma</w:t>
      </w:r>
      <w:bookmarkEnd w:id="0"/>
      <w:r w:rsidR="00CC19FD" w:rsidRPr="00CC19FD">
        <w:rPr>
          <w:sz w:val="19"/>
          <w:szCs w:val="19"/>
        </w:rPr>
        <w:t>.</w:t>
      </w:r>
      <w:r w:rsidR="000701E8">
        <w:rPr>
          <w:sz w:val="19"/>
          <w:szCs w:val="19"/>
        </w:rPr>
        <w:t xml:space="preserve"> </w:t>
      </w:r>
      <w:r w:rsidR="000701E8" w:rsidRPr="000701E8">
        <w:rPr>
          <w:sz w:val="19"/>
          <w:szCs w:val="19"/>
        </w:rPr>
        <w:t>Crédit : NASA / JPL-Caltech / L. Jenkins (GSFC)</w:t>
      </w:r>
      <w:r w:rsidR="000701E8">
        <w:rPr>
          <w:sz w:val="19"/>
          <w:szCs w:val="19"/>
        </w:rPr>
        <w:t xml:space="preserve">. A droite : la constellation de la Chevelure de Bérénice – source : </w:t>
      </w:r>
      <w:proofErr w:type="spellStart"/>
      <w:r w:rsidR="000701E8">
        <w:rPr>
          <w:sz w:val="19"/>
          <w:szCs w:val="19"/>
        </w:rPr>
        <w:t>Wikimedia</w:t>
      </w:r>
      <w:proofErr w:type="spellEnd"/>
      <w:r w:rsidR="000701E8">
        <w:rPr>
          <w:sz w:val="19"/>
          <w:szCs w:val="19"/>
        </w:rPr>
        <w:t xml:space="preserve"> Commons</w:t>
      </w:r>
    </w:p>
    <w:sectPr w:rsidR="000701E8" w:rsidRPr="00B60E87" w:rsidSect="008B7D49">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CB"/>
    <w:rsid w:val="000701E8"/>
    <w:rsid w:val="000B54E4"/>
    <w:rsid w:val="000B70EA"/>
    <w:rsid w:val="000D5744"/>
    <w:rsid w:val="00104F52"/>
    <w:rsid w:val="001A5046"/>
    <w:rsid w:val="001B2150"/>
    <w:rsid w:val="00241825"/>
    <w:rsid w:val="002A27FD"/>
    <w:rsid w:val="00364596"/>
    <w:rsid w:val="003A7E9C"/>
    <w:rsid w:val="003F2569"/>
    <w:rsid w:val="00433B3A"/>
    <w:rsid w:val="00502954"/>
    <w:rsid w:val="00561A1C"/>
    <w:rsid w:val="005A738C"/>
    <w:rsid w:val="00692F0D"/>
    <w:rsid w:val="006A5FE5"/>
    <w:rsid w:val="007A5EB0"/>
    <w:rsid w:val="007B349A"/>
    <w:rsid w:val="007C45F0"/>
    <w:rsid w:val="00811849"/>
    <w:rsid w:val="00872548"/>
    <w:rsid w:val="008B7D49"/>
    <w:rsid w:val="00905324"/>
    <w:rsid w:val="009871A5"/>
    <w:rsid w:val="009F42E7"/>
    <w:rsid w:val="00A07C3F"/>
    <w:rsid w:val="00AE66F0"/>
    <w:rsid w:val="00B60E87"/>
    <w:rsid w:val="00C00B88"/>
    <w:rsid w:val="00C64F68"/>
    <w:rsid w:val="00CA70B8"/>
    <w:rsid w:val="00CC19FD"/>
    <w:rsid w:val="00CE13E7"/>
    <w:rsid w:val="00E370D0"/>
    <w:rsid w:val="00EB6FCB"/>
    <w:rsid w:val="00EE4352"/>
    <w:rsid w:val="00F91125"/>
    <w:rsid w:val="00FC24B4"/>
    <w:rsid w:val="00FE7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8F47"/>
  <w15:chartTrackingRefBased/>
  <w15:docId w15:val="{E07063CA-36AA-432A-A08F-585063B1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B6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182491">
      <w:bodyDiv w:val="1"/>
      <w:marLeft w:val="0"/>
      <w:marRight w:val="0"/>
      <w:marTop w:val="0"/>
      <w:marBottom w:val="0"/>
      <w:divBdr>
        <w:top w:val="none" w:sz="0" w:space="0" w:color="auto"/>
        <w:left w:val="none" w:sz="0" w:space="0" w:color="auto"/>
        <w:bottom w:val="none" w:sz="0" w:space="0" w:color="auto"/>
        <w:right w:val="none" w:sz="0" w:space="0" w:color="auto"/>
      </w:divBdr>
      <w:divsChild>
        <w:div w:id="838928249">
          <w:marLeft w:val="0"/>
          <w:marRight w:val="0"/>
          <w:marTop w:val="0"/>
          <w:marBottom w:val="0"/>
          <w:divBdr>
            <w:top w:val="none" w:sz="0" w:space="0" w:color="auto"/>
            <w:left w:val="none" w:sz="0" w:space="0" w:color="auto"/>
            <w:bottom w:val="none" w:sz="0" w:space="0" w:color="auto"/>
            <w:right w:val="none" w:sz="0" w:space="0" w:color="auto"/>
          </w:divBdr>
        </w:div>
        <w:div w:id="913441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166</Words>
  <Characters>917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dc:creator>
  <cp:keywords/>
  <dc:description/>
  <cp:lastModifiedBy>Gabrielle</cp:lastModifiedBy>
  <cp:revision>32</cp:revision>
  <dcterms:created xsi:type="dcterms:W3CDTF">2020-04-03T17:16:00Z</dcterms:created>
  <dcterms:modified xsi:type="dcterms:W3CDTF">2020-05-19T14:04:00Z</dcterms:modified>
</cp:coreProperties>
</file>